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EF7A3" w14:textId="77777777" w:rsidR="00191557" w:rsidRPr="00191557" w:rsidRDefault="00191557" w:rsidP="00191557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【附件</w:t>
      </w:r>
      <w:r w:rsidRPr="00191557">
        <w:rPr>
          <w:rFonts w:ascii="Helvetica Neue" w:eastAsia="宋体" w:hAnsi="Helvetica Neue" w:cs="宋体"/>
          <w:b/>
          <w:bCs/>
          <w:color w:val="333333"/>
          <w:kern w:val="0"/>
          <w:sz w:val="24"/>
          <w:szCs w:val="24"/>
        </w:rPr>
        <w:t>4</w:t>
      </w:r>
      <w:r w:rsidRPr="00191557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】部分指标和要求说明</w:t>
      </w:r>
    </w:p>
    <w:p w14:paraId="000EF8EB" w14:textId="77777777" w:rsidR="00191557" w:rsidRPr="00191557" w:rsidRDefault="00191557" w:rsidP="00191557">
      <w:pPr>
        <w:widowControl/>
        <w:spacing w:before="100" w:beforeAutospacing="1" w:after="100" w:afterAutospacing="1" w:line="360" w:lineRule="auto"/>
        <w:ind w:left="120" w:right="12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47954623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（一）指标中如对期限无特殊说明，一般使用企业近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年的年度数据，具体定义为：指企业上一完整会计年度，以企业上一年度审计报告期末数为准。对于存在子公司或母公司的企业，按财政部印发的《企业会计准则》有关规定执行。</w:t>
      </w:r>
    </w:p>
    <w:p w14:paraId="42CACB65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（二）所称拥有自主品牌是指主营业务产品或服务具有自主知识产权，且符合下列条件之一：</w:t>
      </w:r>
    </w:p>
    <w:p w14:paraId="3C3EC5E3" w14:textId="77777777" w:rsidR="00191557" w:rsidRDefault="00191557" w:rsidP="00191557">
      <w:pPr>
        <w:spacing w:line="360" w:lineRule="auto"/>
        <w:ind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1.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产品或服务品牌已经国家知识产权局商标局正式注册。</w:t>
      </w:r>
    </w:p>
    <w:p w14:paraId="0D547176" w14:textId="77777777" w:rsidR="00191557" w:rsidRDefault="00191557" w:rsidP="00191557">
      <w:pPr>
        <w:spacing w:line="360" w:lineRule="auto"/>
        <w:ind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2.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产品或服务已经实现收入。</w:t>
      </w:r>
    </w:p>
    <w:p w14:paraId="18FB6B85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（三）所称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Ⅰ类知识产权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包括发明专利（含国防专利）、植物新品种、国家级农作物品种、国家新药、国家一级中药保护品种、集成电路布图设计专有权（均不包含转让未满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年的知识产权）。</w:t>
      </w:r>
    </w:p>
    <w:p w14:paraId="5D54C8CC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（四）所称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Ⅰ类高价值知识产权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须符合以下条件之一：</w:t>
      </w:r>
    </w:p>
    <w:p w14:paraId="059BD41D" w14:textId="77777777" w:rsidR="00191557" w:rsidRDefault="00191557" w:rsidP="00191557">
      <w:pPr>
        <w:spacing w:line="360" w:lineRule="auto"/>
        <w:ind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1.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在海外有同族专利权的发明专利或在海外取得收入的其他Ⅰ类知识产权，其中专利限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G20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成员、新加坡以及欧洲专利局经实质审查后获得授权的发明专利。</w:t>
      </w:r>
    </w:p>
    <w:p w14:paraId="1482B02F" w14:textId="77777777" w:rsidR="00191557" w:rsidRDefault="00191557" w:rsidP="00191557">
      <w:pPr>
        <w:spacing w:line="360" w:lineRule="auto"/>
        <w:ind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2.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维持年限超过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年的Ⅰ类知识产权。</w:t>
      </w:r>
    </w:p>
    <w:p w14:paraId="44AF78AC" w14:textId="77777777" w:rsidR="00191557" w:rsidRDefault="00191557" w:rsidP="00191557">
      <w:pPr>
        <w:spacing w:line="360" w:lineRule="auto"/>
        <w:ind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3.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实现较高质押融资金额的Ⅰ类知识产权。</w:t>
      </w:r>
    </w:p>
    <w:p w14:paraId="35C8939E" w14:textId="77777777" w:rsidR="00191557" w:rsidRDefault="00191557" w:rsidP="00191557">
      <w:pPr>
        <w:spacing w:line="360" w:lineRule="auto"/>
        <w:ind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4.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获得国家科学技术奖或中国专利奖的Ⅰ类知识产权。</w:t>
      </w:r>
    </w:p>
    <w:p w14:paraId="5E7036F4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（五）所称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Ⅱ类知识产权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包括与主导产品相关的软件著作权（不含商标）、授权后维持超过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年的实用新型专利或外观设计专利（均不包含转让未满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年的知识产权）。</w:t>
      </w:r>
    </w:p>
    <w:p w14:paraId="1B14995B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（六）所称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企业数字化转型水平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是指在优质中小企业梯度培育平台完成数字化水平免费自测，具体自测网址、相关标准等事宜，另行明确。</w:t>
      </w:r>
    </w:p>
    <w:p w14:paraId="7E9FD585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（七）所称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重大安全（含网络安全、数据安全）、质量、环境污染等事故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是指产品安全、生产安全、工程质量安全、环境保护、网络安全等各级监管部门，依据《中华人民共和国安全生产法》《中华人民共和国环境保护法》《生产安全事故报告和调查处理条例》《中华人民共和国网络安全法》《中华人民共和国数据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lastRenderedPageBreak/>
        <w:t>安全法》等法律法规，最高人民法院、最高人民检察院司法解释，部门规章以及地方法规等出具的判定意见。</w:t>
      </w:r>
    </w:p>
    <w:p w14:paraId="3013827C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（八）所称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股权融资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是指公司股东稀释部分公司股权给投资人，以增资扩股（出让股权不超过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30%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）的方式引进新的股东，从而取得公司融资的方式。</w:t>
      </w:r>
    </w:p>
    <w:p w14:paraId="43AC0479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（九）所称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合格机构投资者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是指符合《创业投资企业管理暂行办法》（发展改革委等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部门令第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39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号）或者《私募投资基金监督管理暂行办法》（证监会令第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105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号）相关规定，按照上述规定完成备案</w:t>
      </w:r>
      <w:proofErr w:type="gramStart"/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且规范</w:t>
      </w:r>
      <w:proofErr w:type="gramEnd"/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运作的创业投资基金及私</w:t>
      </w:r>
      <w:proofErr w:type="gramStart"/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募股权投资</w:t>
      </w:r>
      <w:proofErr w:type="gramEnd"/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基金。</w:t>
      </w:r>
    </w:p>
    <w:p w14:paraId="2D2765F8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（十）所称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主导产品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是指企业核心技术在产品中发挥重要作用，且产品收入之和占企业同期营业收入比重超过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50%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。</w:t>
      </w:r>
    </w:p>
    <w:p w14:paraId="4D6F84F2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（十一）所称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主导产品在全国细分市场占有率达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10%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以上，且享有较高知名度和影响力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可通过企业自证或其他方式佐证。</w:t>
      </w:r>
    </w:p>
    <w:p w14:paraId="61973EB3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（十二）所称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省级科技奖励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包括各省、自治区、直辖市科学技术奖的一、二、三等奖；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国家级科技奖励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包括国家科学技术进步奖、国家自然科学奖、国家技术发明奖，以及国防科技奖。</w:t>
      </w:r>
    </w:p>
    <w:p w14:paraId="69B31D24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（十三）如无特殊说明，所称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以上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、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以下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，包括本数；所称的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超过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，不包括本数。在计算评价指标得分时，如指标</w:t>
      </w:r>
      <w:proofErr w:type="gramStart"/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值位于</w:t>
      </w:r>
      <w:proofErr w:type="gramEnd"/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两个评分区间边界上，按高分计算得分。</w:t>
      </w:r>
    </w:p>
    <w:p w14:paraId="077BF818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（十四）本办法部分指标计算公式近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年主营业务收入平均增长率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=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（企业上一年度主营业务收入增长率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+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企业上上年度主营业务收入增长率）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/2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。企业上一年度主营业务收入增长率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=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（企业上一年度主营业务收入总额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-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企业上上年度主营业务收入总额）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/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企业上上年度主营业务收入总额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*100%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。其他年度主营业务收入增长率计算方法以此类推。</w:t>
      </w:r>
    </w:p>
    <w:p w14:paraId="4C2B2783" w14:textId="77777777" w:rsidR="00191557" w:rsidRDefault="00191557" w:rsidP="00191557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（十五）所称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被列入经营异常名录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以国家企业信用信息公示系统（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http://www.gsxt.gov.cn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）查询结果为准；所称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严重失信主体名单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以信用中国（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http://www.creditchina.gov.cn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）查询结果为准。</w:t>
      </w:r>
    </w:p>
    <w:p w14:paraId="4D4577F5" w14:textId="39E9749B" w:rsidR="004F0550" w:rsidRDefault="00191557" w:rsidP="00191557">
      <w:pPr>
        <w:spacing w:line="360" w:lineRule="auto"/>
      </w:pP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（十六）所称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“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创客中国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”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中小企业创新创业大赛全国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500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强、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50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强企业组名单是指该大赛</w:t>
      </w:r>
      <w:r w:rsidRPr="00191557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2021</w:t>
      </w:r>
      <w:r w:rsidRPr="0019155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年以来正式发布的名单。</w:t>
      </w:r>
    </w:p>
    <w:sectPr w:rsidR="004F05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57"/>
    <w:rsid w:val="00191557"/>
    <w:rsid w:val="004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2126F"/>
  <w15:chartTrackingRefBased/>
  <w15:docId w15:val="{FC731FEF-BE9A-4AF5-8540-C7062A9CF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1557"/>
    <w:rPr>
      <w:b/>
      <w:bCs/>
    </w:rPr>
  </w:style>
  <w:style w:type="paragraph" w:styleId="a4">
    <w:name w:val="Normal (Web)"/>
    <w:basedOn w:val="a"/>
    <w:uiPriority w:val="99"/>
    <w:semiHidden/>
    <w:unhideWhenUsed/>
    <w:rsid w:val="001915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捷</dc:creator>
  <cp:keywords/>
  <dc:description/>
  <cp:lastModifiedBy>杨 捷</cp:lastModifiedBy>
  <cp:revision>1</cp:revision>
  <dcterms:created xsi:type="dcterms:W3CDTF">2022-06-09T02:50:00Z</dcterms:created>
  <dcterms:modified xsi:type="dcterms:W3CDTF">2022-06-09T02:51:00Z</dcterms:modified>
</cp:coreProperties>
</file>